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C7" w:rsidRDefault="000E3EC7" w:rsidP="000E3EC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color w:val="000000"/>
          <w:sz w:val="24"/>
          <w:szCs w:val="24"/>
          <w:lang w:val="en-US"/>
        </w:rPr>
      </w:pPr>
      <w:r>
        <w:rPr>
          <w:rFonts w:ascii="Book Antiqua" w:hAnsi="Book Antiqua" w:cs="Book Antiqua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1317450A" wp14:editId="7EC05CAE">
            <wp:extent cx="1619250" cy="1476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EC7" w:rsidRDefault="000E3EC7" w:rsidP="000E3EC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color w:val="000000"/>
          <w:sz w:val="24"/>
          <w:szCs w:val="24"/>
          <w:lang w:val="en-US"/>
        </w:rPr>
      </w:pPr>
      <w:proofErr w:type="spellStart"/>
      <w:r>
        <w:rPr>
          <w:rFonts w:ascii="Book Antiqua" w:hAnsi="Book Antiqua" w:cs="Book Antiqua"/>
          <w:b/>
          <w:bCs/>
          <w:color w:val="000000"/>
          <w:sz w:val="24"/>
          <w:szCs w:val="24"/>
          <w:lang w:val="en-US"/>
        </w:rPr>
        <w:t>Qeveria</w:t>
      </w:r>
      <w:proofErr w:type="spellEnd"/>
      <w:r>
        <w:rPr>
          <w:rFonts w:ascii="Book Antiqua" w:hAnsi="Book Antiqua" w:cs="Book Antiqua"/>
          <w:b/>
          <w:bCs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color w:val="000000"/>
          <w:sz w:val="24"/>
          <w:szCs w:val="24"/>
          <w:lang w:val="en-US"/>
        </w:rPr>
        <w:t>Republikës</w:t>
      </w:r>
      <w:proofErr w:type="spellEnd"/>
      <w:r>
        <w:rPr>
          <w:rFonts w:ascii="Book Antiqua" w:hAnsi="Book Antiqua" w:cs="Book Antiqu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color w:val="000000"/>
          <w:sz w:val="24"/>
          <w:szCs w:val="24"/>
          <w:lang w:val="en-US"/>
        </w:rPr>
        <w:t>së</w:t>
      </w:r>
      <w:proofErr w:type="spellEnd"/>
      <w:r>
        <w:rPr>
          <w:rFonts w:ascii="Book Antiqua" w:hAnsi="Book Antiqua" w:cs="Book Antiqua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color w:val="000000"/>
          <w:sz w:val="24"/>
          <w:szCs w:val="24"/>
          <w:lang w:val="en-US"/>
        </w:rPr>
        <w:t>Kosovës</w:t>
      </w:r>
      <w:proofErr w:type="spellEnd"/>
      <w:r>
        <w:rPr>
          <w:rFonts w:ascii="Book Antiqua" w:hAnsi="Book Antiqua" w:cs="Book Antiqua"/>
          <w:b/>
          <w:bCs/>
          <w:color w:val="000000"/>
          <w:sz w:val="24"/>
          <w:szCs w:val="24"/>
          <w:lang w:val="en-US"/>
        </w:rPr>
        <w:t xml:space="preserve"> </w:t>
      </w:r>
    </w:p>
    <w:p w:rsidR="000E3EC7" w:rsidRDefault="000E3EC7" w:rsidP="000E3EC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Zyra e </w:t>
      </w:r>
      <w:proofErr w:type="spellStart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Kryeministrit</w:t>
      </w:r>
      <w:proofErr w:type="spellEnd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0E3EC7" w:rsidRDefault="000E3EC7" w:rsidP="000E3EC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</w:pPr>
    </w:p>
    <w:p w:rsidR="000E3EC7" w:rsidRDefault="000E3EC7" w:rsidP="000E3EC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            </w:t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proofErr w:type="spellStart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Komisioni</w:t>
      </w:r>
      <w:proofErr w:type="spellEnd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Hetimin</w:t>
      </w:r>
      <w:proofErr w:type="spellEnd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Aksidenteve</w:t>
      </w:r>
      <w:proofErr w:type="spellEnd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dhe</w:t>
      </w:r>
      <w:proofErr w:type="spellEnd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Incidenteve</w:t>
      </w:r>
      <w:proofErr w:type="spellEnd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Aeronautike</w:t>
      </w:r>
      <w:proofErr w:type="spellEnd"/>
    </w:p>
    <w:p w:rsidR="00791E24" w:rsidRDefault="00791E24" w:rsidP="000C40D4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______________________________________________________________________________</w:t>
      </w:r>
    </w:p>
    <w:p w:rsidR="000E3EC7" w:rsidRDefault="00791E24" w:rsidP="000E3EC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</w:pP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  <w:t xml:space="preserve">         </w:t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5658B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   Nr.ZKM-KHAIA-023</w:t>
      </w:r>
      <w:r w:rsidR="009D57CA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/2017</w:t>
      </w:r>
    </w:p>
    <w:p w:rsidR="00791E24" w:rsidRPr="00791E24" w:rsidRDefault="00791E24" w:rsidP="000E3EC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</w:pPr>
      <w:r w:rsidRPr="00791E2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</w:t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="000C40D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ab/>
      </w:r>
      <w:r w:rsidRPr="00791E24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  </w:t>
      </w:r>
      <w:proofErr w:type="spellStart"/>
      <w:r w:rsidR="003D4ED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Datë</w:t>
      </w:r>
      <w:proofErr w:type="spellEnd"/>
      <w:r w:rsidR="003D4ED6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r w:rsidR="005658BF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12.06.</w:t>
      </w:r>
      <w:r w:rsidR="009D57CA"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  <w:t>2017</w:t>
      </w:r>
    </w:p>
    <w:p w:rsidR="000E3EC7" w:rsidRPr="003D4ED6" w:rsidRDefault="000E3EC7" w:rsidP="000E3EC7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 Antiqua"/>
          <w:b/>
          <w:bCs/>
          <w:i/>
          <w:iCs/>
          <w:color w:val="000000"/>
          <w:sz w:val="24"/>
          <w:szCs w:val="24"/>
          <w:lang w:val="en-US"/>
        </w:rPr>
      </w:pPr>
    </w:p>
    <w:p w:rsidR="00791E24" w:rsidRDefault="0037401A" w:rsidP="000C40D4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/>
          <w:b/>
          <w:bCs/>
          <w:i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en-US"/>
        </w:rPr>
        <w:t>PLANI</w:t>
      </w:r>
      <w:r w:rsidR="002B7597">
        <w:rPr>
          <w:rFonts w:ascii="Times New Roman" w:hAnsi="Times New Roman"/>
          <w:b/>
          <w:bCs/>
          <w:iCs/>
          <w:color w:val="000000"/>
          <w:sz w:val="24"/>
          <w:szCs w:val="24"/>
          <w:lang w:val="en-US"/>
        </w:rPr>
        <w:t xml:space="preserve"> –KHAIA </w:t>
      </w:r>
      <w:r w:rsidR="009D57CA">
        <w:rPr>
          <w:rFonts w:ascii="Times New Roman" w:hAnsi="Times New Roman"/>
          <w:b/>
          <w:bCs/>
          <w:iCs/>
          <w:color w:val="000000"/>
          <w:sz w:val="24"/>
          <w:szCs w:val="24"/>
          <w:lang w:val="en-US"/>
        </w:rPr>
        <w:t>2017</w:t>
      </w:r>
    </w:p>
    <w:p w:rsidR="002B7597" w:rsidRDefault="002B7597" w:rsidP="002B75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  <w:lang w:val="en-US"/>
        </w:rPr>
      </w:pPr>
    </w:p>
    <w:tbl>
      <w:tblPr>
        <w:tblStyle w:val="TableGrid"/>
        <w:tblW w:w="129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621"/>
        <w:gridCol w:w="3159"/>
        <w:gridCol w:w="4140"/>
        <w:gridCol w:w="2610"/>
        <w:gridCol w:w="2430"/>
      </w:tblGrid>
      <w:tr w:rsidR="0037401A" w:rsidTr="0037401A">
        <w:tc>
          <w:tcPr>
            <w:tcW w:w="621" w:type="dxa"/>
          </w:tcPr>
          <w:p w:rsidR="0037401A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Nr.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37401A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Përmbajtja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Default="0037401A" w:rsidP="0032047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Aktiviteti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Default="0037401A" w:rsidP="0037401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Kosto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Financiare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7401A" w:rsidRDefault="0037401A" w:rsidP="0032047D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V</w:t>
            </w:r>
            <w:r w:rsidRPr="006244A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ë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rejtje</w:t>
            </w:r>
            <w:proofErr w:type="spellEnd"/>
          </w:p>
        </w:tc>
      </w:tr>
      <w:tr w:rsidR="0037401A" w:rsidTr="0037401A">
        <w:trPr>
          <w:trHeight w:val="422"/>
        </w:trPr>
        <w:tc>
          <w:tcPr>
            <w:tcW w:w="621" w:type="dxa"/>
          </w:tcPr>
          <w:p w:rsidR="0037401A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37401A" w:rsidRPr="00DA56B1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Rregulloret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Pr="00DA56B1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Perpilimi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Rregulloreve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reja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Fushen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Aviacionit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Hekurudhave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Transpozimim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Rregulloreve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BE-se per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Aviacion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Pr="00BF03FD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7401A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7401A" w:rsidTr="0037401A">
        <w:trPr>
          <w:trHeight w:val="422"/>
        </w:trPr>
        <w:tc>
          <w:tcPr>
            <w:tcW w:w="621" w:type="dxa"/>
          </w:tcPr>
          <w:p w:rsidR="0037401A" w:rsidRPr="00B12E90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B12E90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2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37401A" w:rsidRPr="00B12E90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Perfaqesimi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Republikes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Kosoves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Instuticionet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Nderkombetare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1.Pjesemarrje ne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takimet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rregullta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(ENCASIA) per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Aviacion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ku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KHAIA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eshte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cilesin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vezhgusit</w:t>
            </w:r>
            <w:proofErr w:type="spellEnd"/>
          </w:p>
          <w:p w:rsidR="0037401A" w:rsidRPr="00B12E90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2.Pjesmarrje ne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takimet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rrehullta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(ERA) per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Hekurudha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ku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je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perfaqesohemi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vezhguse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bashku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vendet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e IPA-se.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Pr="00BF03FD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7401A" w:rsidRPr="00B12E90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</w:tr>
      <w:tr w:rsidR="0037401A" w:rsidTr="0037401A">
        <w:trPr>
          <w:trHeight w:val="458"/>
        </w:trPr>
        <w:tc>
          <w:tcPr>
            <w:tcW w:w="621" w:type="dxa"/>
          </w:tcPr>
          <w:p w:rsidR="0037401A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37401A" w:rsidRPr="000C40D4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Takimet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Vendore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Nderkombetare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Default="00EE6030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1.Takime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shtetet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rajonit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vendeve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BE-se per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mundesin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nenshkrimeve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Memorandumeve,shkembimit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eksperiencave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Perfitimeve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nga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vendet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tjera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fushen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Aviacionit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Hekurudhave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:rsidR="00EE6030" w:rsidRDefault="00EE6030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2.Pjesemarrje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Organizatat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ndryshme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Nderkombetare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lidhen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fushen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KHAIA-se</w:t>
            </w:r>
          </w:p>
          <w:p w:rsidR="00EE6030" w:rsidRDefault="00EE6030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3.Takime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vazhdushme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gjitha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instuticionet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Ajore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Hekurudhore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Republikes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Kosoves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qellim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rritjes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sigurise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fushat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transportit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Ajor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Hekurudhore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:rsidR="00EE6030" w:rsidRPr="000C40D4" w:rsidRDefault="00EE6030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4.Takime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gjitha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Instuticionet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Nderkombetare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vendin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tone.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Pr="00BF03FD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7401A" w:rsidRDefault="0037401A" w:rsidP="00DA56B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7401A" w:rsidTr="0037401A">
        <w:tc>
          <w:tcPr>
            <w:tcW w:w="621" w:type="dxa"/>
          </w:tcPr>
          <w:p w:rsidR="0037401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37401A" w:rsidRPr="000C40D4" w:rsidRDefault="00EE6030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Trajnime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Default="00EE6030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1.Trajnime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rifreskuse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Hetimin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Aksidenteve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Ajore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Hekurudhore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ndonje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instuticion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nderkombetare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njohura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nderkombetarisht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jemi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hap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vendet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BE</w:t>
            </w:r>
            <w:r w:rsidR="00BF03F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(4 </w:t>
            </w:r>
            <w:proofErr w:type="spellStart"/>
            <w:r w:rsidR="00BF03F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Anetare</w:t>
            </w:r>
            <w:proofErr w:type="spellEnd"/>
            <w:r w:rsidR="00BF03FD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)</w:t>
            </w:r>
          </w:p>
          <w:p w:rsidR="00EE6030" w:rsidRPr="000C40D4" w:rsidRDefault="00EE6030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2.Trajnime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Praktike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(On job training)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instuticionet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nderkombetare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kemi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marrveshje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bashkepunimi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Pr="00BF03FD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7401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7401A" w:rsidTr="0037401A">
        <w:tc>
          <w:tcPr>
            <w:tcW w:w="621" w:type="dxa"/>
          </w:tcPr>
          <w:p w:rsidR="0037401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37401A" w:rsidRDefault="005E5CE5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Paisjet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Pr="0077623A" w:rsidRDefault="005E5CE5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Blerja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paisjeve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hetusit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Aksidenteve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Ajore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Hekurudhore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7401A" w:rsidRPr="0077623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7401A" w:rsidTr="0037401A">
        <w:tc>
          <w:tcPr>
            <w:tcW w:w="621" w:type="dxa"/>
          </w:tcPr>
          <w:p w:rsidR="0037401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6</w:t>
            </w:r>
          </w:p>
          <w:p w:rsidR="0037401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37401A" w:rsidRPr="0077623A" w:rsidRDefault="005E5CE5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Funksionalizimi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i Administrates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mbrenda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KHAIA-se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Default="005E5CE5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baze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Ligjit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Aviacionit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03-L-051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parashihet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KHAIA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mund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kete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3)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anetar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ose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ndihmes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:rsidR="005E5CE5" w:rsidRDefault="005E5CE5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1.Jurist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Aviacionit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hekurudhave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-I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cili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percjell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gjitha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rregulloret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Ligjet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BE-se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mbane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KHAIA-ne Hap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vendet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BE-se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parashihet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punesuar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koficent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8</w:t>
            </w:r>
          </w:p>
          <w:p w:rsidR="005E5CE5" w:rsidRDefault="005E5CE5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 xml:space="preserve">2.Parashihet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Zyrtar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per Media I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cili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eshte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edhe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kerkes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Komisionit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BE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parashihet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punesohet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zyrtar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koficient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8</w:t>
            </w:r>
          </w:p>
          <w:p w:rsidR="005E5CE5" w:rsidRPr="0077623A" w:rsidRDefault="005E5CE5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3.Nje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asistent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administrative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koficent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7 I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cili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mbane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adminstraten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dy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depertamenteve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mbrenda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KHAIA-se ate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Aviacionit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Hekurudhave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mbeshtet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krysuesin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realizimin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qellimeve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KHAIA-se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FD" w:rsidRPr="0077623A" w:rsidRDefault="00BF03FD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7401A" w:rsidRPr="0077623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7401A" w:rsidTr="0037401A">
        <w:tc>
          <w:tcPr>
            <w:tcW w:w="621" w:type="dxa"/>
          </w:tcPr>
          <w:p w:rsidR="0037401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3159" w:type="dxa"/>
            <w:tcBorders>
              <w:right w:val="single" w:sz="4" w:space="0" w:color="auto"/>
            </w:tcBorders>
          </w:tcPr>
          <w:p w:rsidR="0037401A" w:rsidRPr="0077623A" w:rsidRDefault="00BF03FD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Sherbimi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24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Oreshe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Kujdestarise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Pr="0077623A" w:rsidRDefault="00BF03FD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KHAIA-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organizon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sherbim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24/7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Kujdestarise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ku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eshte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sherbim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qytearve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lajmrimin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aksidenteve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Incidentev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Fushen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Aviacionit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Hekurudhave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Republiken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Kosoves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aksidenteve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kudo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bote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viktima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qytare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Republikes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Kosoves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Pr="00D573DB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7401A" w:rsidRPr="0077623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218E6" w:rsidTr="0037401A">
        <w:tc>
          <w:tcPr>
            <w:tcW w:w="621" w:type="dxa"/>
          </w:tcPr>
          <w:p w:rsidR="007218E6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</w:tcPr>
          <w:p w:rsidR="007218E6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Pagat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E6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KHAIA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Anetar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Emruar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ku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njeri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eshte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Kryesues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eshte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miratuar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vendi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punes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hetus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hekurudhave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E6" w:rsidRPr="007218E6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7218E6" w:rsidRPr="0077623A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7218E6" w:rsidTr="0037401A">
        <w:tc>
          <w:tcPr>
            <w:tcW w:w="621" w:type="dxa"/>
          </w:tcPr>
          <w:p w:rsidR="007218E6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</w:tcPr>
          <w:p w:rsidR="007218E6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Sherbime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Meditje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E6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Sherbimet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pergjithshme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meditjet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per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Sherbimin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Kujdestarise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udhetimet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jashte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vendit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E6" w:rsidRPr="007218E6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7218E6" w:rsidRPr="0077623A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  <w:tr w:rsidR="0037401A" w:rsidTr="0037401A">
        <w:tc>
          <w:tcPr>
            <w:tcW w:w="621" w:type="dxa"/>
          </w:tcPr>
          <w:p w:rsidR="0037401A" w:rsidRDefault="007218E6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159" w:type="dxa"/>
            <w:tcBorders>
              <w:bottom w:val="single" w:sz="4" w:space="0" w:color="auto"/>
              <w:right w:val="single" w:sz="4" w:space="0" w:color="auto"/>
            </w:tcBorders>
          </w:tcPr>
          <w:p w:rsidR="0037401A" w:rsidRPr="0077623A" w:rsidRDefault="00BF03FD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Fondi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emergjent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Default="00BF03FD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Parashihet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qasje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fondin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emergjent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nese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mbrenda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teritorit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republikes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Kosoves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kemi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aksident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pasoja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katastrofike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dhe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pjemarrje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cilin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do vend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botes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nese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ndodnje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nje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aksident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i till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ku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viktima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qytare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te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Republikes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Kosoves</w:t>
            </w:r>
            <w:proofErr w:type="spellEnd"/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  <w:t>.</w:t>
            </w:r>
          </w:p>
          <w:p w:rsidR="00BF03FD" w:rsidRPr="0077623A" w:rsidRDefault="00BF03FD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1A" w:rsidRPr="0077623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37401A" w:rsidRPr="0077623A" w:rsidRDefault="0037401A" w:rsidP="00661101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920CE" w:rsidRDefault="009920CE" w:rsidP="0066110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  <w:lang w:val="en-US"/>
        </w:rPr>
      </w:pPr>
      <w:bookmarkStart w:id="0" w:name="_GoBack"/>
      <w:bookmarkEnd w:id="0"/>
    </w:p>
    <w:sectPr w:rsidR="009920CE" w:rsidSect="00DA56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F1A52"/>
    <w:multiLevelType w:val="hybridMultilevel"/>
    <w:tmpl w:val="F930500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ADB7FB5"/>
    <w:multiLevelType w:val="hybridMultilevel"/>
    <w:tmpl w:val="43DE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F5E4C"/>
    <w:multiLevelType w:val="hybridMultilevel"/>
    <w:tmpl w:val="9834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8302E"/>
    <w:multiLevelType w:val="hybridMultilevel"/>
    <w:tmpl w:val="FD8E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C7"/>
    <w:rsid w:val="000A17F3"/>
    <w:rsid w:val="000C40D4"/>
    <w:rsid w:val="000E3EC7"/>
    <w:rsid w:val="001E46F8"/>
    <w:rsid w:val="001F762C"/>
    <w:rsid w:val="002B7597"/>
    <w:rsid w:val="002C15EE"/>
    <w:rsid w:val="002E106F"/>
    <w:rsid w:val="0032047D"/>
    <w:rsid w:val="00332295"/>
    <w:rsid w:val="0037401A"/>
    <w:rsid w:val="00393093"/>
    <w:rsid w:val="003D4ED6"/>
    <w:rsid w:val="003E63E9"/>
    <w:rsid w:val="00400EA5"/>
    <w:rsid w:val="00422441"/>
    <w:rsid w:val="004519F9"/>
    <w:rsid w:val="004527E8"/>
    <w:rsid w:val="00485800"/>
    <w:rsid w:val="004E6977"/>
    <w:rsid w:val="00561908"/>
    <w:rsid w:val="00562CDC"/>
    <w:rsid w:val="005658BF"/>
    <w:rsid w:val="00581405"/>
    <w:rsid w:val="005E5CE5"/>
    <w:rsid w:val="006244AC"/>
    <w:rsid w:val="00632031"/>
    <w:rsid w:val="00661101"/>
    <w:rsid w:val="006A6CD4"/>
    <w:rsid w:val="006B5D29"/>
    <w:rsid w:val="00705B1F"/>
    <w:rsid w:val="007218E6"/>
    <w:rsid w:val="00736F79"/>
    <w:rsid w:val="0077623A"/>
    <w:rsid w:val="00791E24"/>
    <w:rsid w:val="0087722E"/>
    <w:rsid w:val="00877DBA"/>
    <w:rsid w:val="008C3ED9"/>
    <w:rsid w:val="009920CE"/>
    <w:rsid w:val="00994E68"/>
    <w:rsid w:val="009D57CA"/>
    <w:rsid w:val="00A302E0"/>
    <w:rsid w:val="00AF3D95"/>
    <w:rsid w:val="00B07060"/>
    <w:rsid w:val="00B12E90"/>
    <w:rsid w:val="00BF03FD"/>
    <w:rsid w:val="00C11209"/>
    <w:rsid w:val="00C97DDA"/>
    <w:rsid w:val="00D32E72"/>
    <w:rsid w:val="00D573DB"/>
    <w:rsid w:val="00DA56B1"/>
    <w:rsid w:val="00DF4A51"/>
    <w:rsid w:val="00E717E7"/>
    <w:rsid w:val="00E81CAC"/>
    <w:rsid w:val="00E835C9"/>
    <w:rsid w:val="00EB3C59"/>
    <w:rsid w:val="00EE6030"/>
    <w:rsid w:val="00F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C7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C7"/>
    <w:rPr>
      <w:rFonts w:ascii="Tahoma" w:eastAsia="Calibri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A302E0"/>
    <w:pPr>
      <w:ind w:left="720"/>
      <w:contextualSpacing/>
    </w:pPr>
  </w:style>
  <w:style w:type="table" w:styleId="TableGrid">
    <w:name w:val="Table Grid"/>
    <w:basedOn w:val="TableNormal"/>
    <w:uiPriority w:val="59"/>
    <w:rsid w:val="00DA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EC7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C7"/>
    <w:rPr>
      <w:rFonts w:ascii="Tahoma" w:eastAsia="Calibri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A302E0"/>
    <w:pPr>
      <w:ind w:left="720"/>
      <w:contextualSpacing/>
    </w:pPr>
  </w:style>
  <w:style w:type="table" w:styleId="TableGrid">
    <w:name w:val="Table Grid"/>
    <w:basedOn w:val="TableNormal"/>
    <w:uiPriority w:val="59"/>
    <w:rsid w:val="00DA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F1A3-9B83-43E5-990D-62AF0B07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Mirsim Beqiri</dc:creator>
  <cp:lastModifiedBy>Mirsim Beqiri</cp:lastModifiedBy>
  <cp:revision>4</cp:revision>
  <cp:lastPrinted>2016-06-06T09:24:00Z</cp:lastPrinted>
  <dcterms:created xsi:type="dcterms:W3CDTF">2017-06-12T11:39:00Z</dcterms:created>
  <dcterms:modified xsi:type="dcterms:W3CDTF">2018-11-22T12:23:00Z</dcterms:modified>
</cp:coreProperties>
</file>